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EAFC" w14:textId="155262C0" w:rsidR="00D83BDD" w:rsidRDefault="004C5535" w:rsidP="00C95A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83BD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Klinička procena osoba s</w:t>
      </w:r>
      <w:r w:rsidR="00D83BD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a</w:t>
      </w:r>
      <w:r w:rsidRPr="00D83BD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teškoćama u mentalnom razvoju</w:t>
      </w:r>
    </w:p>
    <w:p w14:paraId="529015EC" w14:textId="4603A80A" w:rsidR="009219D3" w:rsidRPr="00D83BDD" w:rsidRDefault="00D83BDD" w:rsidP="00C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3BDD">
        <w:rPr>
          <w:rFonts w:ascii="Times New Roman" w:hAnsi="Times New Roman" w:cs="Times New Roman"/>
          <w:sz w:val="24"/>
          <w:szCs w:val="24"/>
          <w:lang w:val="sr-Latn-RS"/>
        </w:rPr>
        <w:t xml:space="preserve">ISPITNA PITANJA </w:t>
      </w:r>
    </w:p>
    <w:p w14:paraId="4E07B246" w14:textId="77777777" w:rsidR="004C5535" w:rsidRPr="004C5535" w:rsidRDefault="004C5535" w:rsidP="00C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3F1172" w14:textId="647F3F4F" w:rsidR="009219D3" w:rsidRPr="005C79F4" w:rsidRDefault="009219D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Funkcionalna organizacija i disfunkcije centralnog nervnog sistema</w:t>
      </w:r>
      <w:r w:rsidR="00A4687C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 opšti osvrt</w:t>
      </w:r>
    </w:p>
    <w:p w14:paraId="3AE6F1C3" w14:textId="6D63EA6B" w:rsidR="009219D3" w:rsidRPr="005C79F4" w:rsidRDefault="009219D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Funkcionalna organizacija i disfunkcije centralnog nervnog sistema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z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adnji mozak i mali mozak</w:t>
      </w:r>
    </w:p>
    <w:p w14:paraId="037BAEA0" w14:textId="6A9FCF02" w:rsidR="009219D3" w:rsidRPr="005C79F4" w:rsidRDefault="009219D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Funkcionalna organizacija i disfunkcije centralnog nervnog sistema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s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rednji mozak, prednji mozak i bazalne ganglije</w:t>
      </w:r>
    </w:p>
    <w:p w14:paraId="3369C7E9" w14:textId="3CE40786" w:rsidR="009219D3" w:rsidRPr="005C79F4" w:rsidRDefault="009219D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Funkcionalna organizacija i disfunkcije centralnog nervnog sistema</w:t>
      </w:r>
      <w:r w:rsidR="00A4687C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hAnsi="Times New Roman" w:cs="Times New Roman"/>
          <w:color w:val="EE0000"/>
          <w:sz w:val="24"/>
          <w:szCs w:val="24"/>
          <w:lang w:val="sr-Latn-RS"/>
        </w:rPr>
        <w:t>k</w:t>
      </w:r>
      <w:r w:rsidRPr="005C79F4">
        <w:rPr>
          <w:rFonts w:ascii="Times New Roman" w:hAnsi="Times New Roman" w:cs="Times New Roman"/>
          <w:color w:val="EE0000"/>
          <w:sz w:val="24"/>
          <w:szCs w:val="24"/>
          <w:lang w:val="sr-Latn-RS"/>
        </w:rPr>
        <w:t>ora velikog mozga</w:t>
      </w:r>
    </w:p>
    <w:p w14:paraId="3E9B6A80" w14:textId="77777777" w:rsidR="009219D3" w:rsidRPr="005C79F4" w:rsidRDefault="009219D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Lurijin model funkcionalne organizacije centralnog nervnog sistema</w:t>
      </w:r>
    </w:p>
    <w:p w14:paraId="698FFEA6" w14:textId="3F864F70" w:rsidR="003F6CDD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Blok regulisanja tonusa i stanja budnosti</w:t>
      </w:r>
    </w:p>
    <w:p w14:paraId="08A4B6CF" w14:textId="4F609F3D" w:rsidR="009219D3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Retikularna formacija produžene moždine, ponsa i srednjeg mozga</w:t>
      </w:r>
    </w:p>
    <w:p w14:paraId="7D883F7B" w14:textId="2CDBE95F" w:rsidR="003F6CDD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Ascendentni retikularni aktivirajući sistem (ARAS)</w:t>
      </w:r>
    </w:p>
    <w:p w14:paraId="6318268C" w14:textId="3C4EE197" w:rsidR="003F6CDD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Osnovna izvorišta aktivacije </w:t>
      </w:r>
      <w:r w:rsidR="00A4687C"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I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funkcionalnog bloka</w:t>
      </w:r>
    </w:p>
    <w:p w14:paraId="2A3C5B65" w14:textId="5DA935EB" w:rsidR="003F6CDD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Blok prijema, obrade i čuvanja informacija</w:t>
      </w:r>
    </w:p>
    <w:p w14:paraId="460510AD" w14:textId="28D7C1D0" w:rsidR="003F6CDD" w:rsidRPr="005C79F4" w:rsidRDefault="003F6CDD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Funkcionalne oblasti parijetalnog režnja</w:t>
      </w:r>
    </w:p>
    <w:p w14:paraId="1275F269" w14:textId="4CC4FF9B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Obrada taktilnih senzacija</w:t>
      </w:r>
    </w:p>
    <w:p w14:paraId="3BA21726" w14:textId="2DF1DC9E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Gerstmanov sindrom</w:t>
      </w:r>
    </w:p>
    <w:p w14:paraId="5AB238D7" w14:textId="5259B50F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Ideomotorna </w:t>
      </w:r>
      <w:r w:rsidR="00E71107"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i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ideaciona apraksija</w:t>
      </w:r>
    </w:p>
    <w:p w14:paraId="09ACF6BB" w14:textId="7575B021" w:rsidR="003651F8" w:rsidRPr="005C79F4" w:rsidRDefault="003651F8" w:rsidP="003C78FB">
      <w:pPr>
        <w:spacing w:after="0" w:line="240" w:lineRule="auto"/>
        <w:ind w:left="360"/>
        <w:rPr>
          <w:rFonts w:ascii="Times New Roman" w:eastAsia="MS Mincho" w:hAnsi="Times New Roman" w:cs="Times New Roman"/>
          <w:i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color w:val="EE0000"/>
          <w:sz w:val="24"/>
          <w:szCs w:val="24"/>
          <w:lang w:val="sr-Latn-RS"/>
        </w:rPr>
        <w:t>Lezije parijetalnog režnja dominantne hemisphere</w:t>
      </w:r>
    </w:p>
    <w:p w14:paraId="4D7508A3" w14:textId="5F72D3F0" w:rsidR="003651F8" w:rsidRPr="005C79F4" w:rsidRDefault="003651F8" w:rsidP="003C78FB">
      <w:pPr>
        <w:spacing w:after="0" w:line="240" w:lineRule="auto"/>
        <w:ind w:left="360"/>
        <w:rPr>
          <w:rFonts w:ascii="Times New Roman" w:eastAsia="MS Mincho" w:hAnsi="Times New Roman" w:cs="Times New Roman"/>
          <w:i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color w:val="EE0000"/>
          <w:sz w:val="24"/>
          <w:szCs w:val="24"/>
          <w:lang w:val="sr-Latn-RS"/>
        </w:rPr>
        <w:t>Lezije parijetalnog režnja nedominantne hemisfere</w:t>
      </w:r>
    </w:p>
    <w:p w14:paraId="75F58D66" w14:textId="75F105A2" w:rsidR="00A4687C" w:rsidRPr="005C79F4" w:rsidRDefault="00A4687C" w:rsidP="003C78FB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Lezije parijetalnog režnja nedominantne hemisfere: 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poremećaji vizuospacijalnih sposobnosti</w:t>
      </w:r>
    </w:p>
    <w:p w14:paraId="10EC8AA0" w14:textId="73BB2A0F" w:rsidR="003651F8" w:rsidRPr="005C79F4" w:rsidRDefault="003651F8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Funkcionalne oblasti temporalnog režnja</w:t>
      </w:r>
    </w:p>
    <w:p w14:paraId="2282ED99" w14:textId="425FED75" w:rsidR="00E71107" w:rsidRPr="005C79F4" w:rsidRDefault="00E71107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Funkcionalne oblasti temporalnog režnja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primarna i sekundarna polja</w:t>
      </w:r>
    </w:p>
    <w:p w14:paraId="353274A1" w14:textId="5A97EA02" w:rsidR="007B4193" w:rsidRPr="005C79F4" w:rsidRDefault="00A4687C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Funkcionalne oblasti temporalnog režnja: </w:t>
      </w:r>
      <w:r w:rsidR="007B4193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tercijarn</w:t>
      </w: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a</w:t>
      </w:r>
      <w:r w:rsidR="007B4193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 polja </w:t>
      </w:r>
    </w:p>
    <w:p w14:paraId="68266B1A" w14:textId="11C037E0" w:rsidR="00E71107" w:rsidRPr="005C79F4" w:rsidRDefault="00E71107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Vernikeova afazija</w:t>
      </w:r>
    </w:p>
    <w:p w14:paraId="50558034" w14:textId="6B08506A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Limbički sistem</w:t>
      </w:r>
    </w:p>
    <w:p w14:paraId="0452A0C7" w14:textId="3901D2CB" w:rsidR="003651F8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Učešće limbičkog sistema u procesima pamćenja i učenja</w:t>
      </w:r>
    </w:p>
    <w:p w14:paraId="391B3010" w14:textId="17957676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Funkcionalne oblasti okcipitalnog režnja</w:t>
      </w:r>
    </w:p>
    <w:p w14:paraId="66B9FC07" w14:textId="77777777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Blok programiranja, regulisanja i kontrole složenih oblika aktivnosti</w:t>
      </w:r>
    </w:p>
    <w:p w14:paraId="1160B248" w14:textId="6EEB8D9C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Funkcionalne oblasti frontalnog režnja</w:t>
      </w:r>
      <w:r w:rsidR="00A4687C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 primarna i sekundarna polja</w:t>
      </w:r>
    </w:p>
    <w:p w14:paraId="31A6AB3F" w14:textId="0C00F6F6" w:rsidR="00E71107" w:rsidRPr="005C79F4" w:rsidRDefault="00E71107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Funkcionalne oblasti frontalnog režnja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Brokino područje</w:t>
      </w:r>
    </w:p>
    <w:p w14:paraId="06E42503" w14:textId="4E8672BE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Funkcionalne oblasti frontalnog režnja</w:t>
      </w:r>
      <w:r w:rsidR="00A4687C"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p</w:t>
      </w: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refrontalni korteks</w:t>
      </w:r>
    </w:p>
    <w:p w14:paraId="46E477CC" w14:textId="43A76CD2" w:rsidR="007B4193" w:rsidRPr="005C79F4" w:rsidRDefault="007B4193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color w:val="EE0000"/>
          <w:sz w:val="24"/>
          <w:szCs w:val="24"/>
          <w:lang w:val="sr-Latn-RS"/>
        </w:rPr>
        <w:t>Bazični mehanizmi egzekutivnih funkcija</w:t>
      </w:r>
    </w:p>
    <w:p w14:paraId="2DE6C2AE" w14:textId="01CABFAE" w:rsidR="007B4193" w:rsidRPr="005C79F4" w:rsidRDefault="00C06FC9" w:rsidP="003C78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Funkcionalne oblasti frontalnog režnja</w:t>
      </w:r>
      <w:r w:rsidR="00A4687C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5C79F4">
        <w:rPr>
          <w:rFonts w:ascii="Times New Roman" w:hAnsi="Times New Roman" w:cs="Times New Roman"/>
          <w:sz w:val="24"/>
          <w:szCs w:val="24"/>
          <w:lang w:val="sr-Latn-RS"/>
        </w:rPr>
        <w:t>orzolateralno područje</w:t>
      </w:r>
    </w:p>
    <w:p w14:paraId="684E1375" w14:textId="4F5E2CDA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Funkcionalne oblasti frontalnog režnja</w:t>
      </w:r>
      <w:r w:rsidR="00E22F7A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: </w:t>
      </w:r>
      <w:r w:rsidR="00A4687C"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m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ediobazalno područje</w:t>
      </w:r>
    </w:p>
    <w:p w14:paraId="6C2A3943" w14:textId="69EFAEDA" w:rsidR="007B4193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Funkcionalne oblasti frontalnog režnja</w:t>
      </w:r>
      <w:r w:rsidR="00E22F7A"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:</w:t>
      </w: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 </w:t>
      </w:r>
      <w:r w:rsidR="00A4687C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o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rbitofrontalno područje</w:t>
      </w:r>
    </w:p>
    <w:p w14:paraId="0266AADC" w14:textId="1F968761" w:rsidR="007B4193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color w:val="EE0000"/>
          <w:sz w:val="24"/>
          <w:szCs w:val="24"/>
          <w:lang w:val="sr-Latn-RS"/>
        </w:rPr>
        <w:t>Lezije prefrontalnog korteksa</w:t>
      </w:r>
    </w:p>
    <w:p w14:paraId="436D8D72" w14:textId="682F27C8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Lezije prefrontalnih oblasti dominantne hemisphere</w:t>
      </w:r>
    </w:p>
    <w:p w14:paraId="0E73773B" w14:textId="77777777" w:rsidR="00C06FC9" w:rsidRPr="005C79F4" w:rsidRDefault="00C06FC9" w:rsidP="003C78FB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Lezije prefrontalnih oblasti nedominantne hemisfere</w:t>
      </w:r>
    </w:p>
    <w:p w14:paraId="5FD2F3BB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723D9D8F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65FB1BDC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65A95F72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25D0EACD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75235594" w14:textId="77777777" w:rsidR="003C78FB" w:rsidRPr="005C79F4" w:rsidRDefault="003C78FB" w:rsidP="003C78FB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</w:p>
    <w:p w14:paraId="1849640D" w14:textId="3EF2D142" w:rsidR="009219D3" w:rsidRPr="005C79F4" w:rsidRDefault="009219D3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Timski pristupi</w:t>
      </w:r>
    </w:p>
    <w:p w14:paraId="649C6354" w14:textId="5A993CC4" w:rsidR="00CC28EF" w:rsidRPr="005C79F4" w:rsidRDefault="00CC28EF" w:rsidP="00A96A9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Osnovni ciljevi oligofrenološke kliničke procene</w:t>
      </w:r>
    </w:p>
    <w:p w14:paraId="277CD5B1" w14:textId="77777777" w:rsidR="00CC28EF" w:rsidRPr="005C79F4" w:rsidRDefault="00CC28EF" w:rsidP="00A96A9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Mogućnosti primene oligofrenološke procene</w:t>
      </w:r>
    </w:p>
    <w:p w14:paraId="68E44680" w14:textId="77777777" w:rsidR="00CC28EF" w:rsidRPr="005C79F4" w:rsidRDefault="00CC28EF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Metodi procene u oligofrenologiji</w:t>
      </w:r>
    </w:p>
    <w:p w14:paraId="554B6877" w14:textId="77777777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Analiza postojećih podataka</w:t>
      </w:r>
    </w:p>
    <w:p w14:paraId="5FF79D75" w14:textId="326D79E4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Neformalna procena – opšti osvrt</w:t>
      </w:r>
    </w:p>
    <w:p w14:paraId="7745BE2B" w14:textId="580C2DF5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Opservacija ponašanja</w:t>
      </w:r>
    </w:p>
    <w:p w14:paraId="0076DF53" w14:textId="7E031A12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Portfolio</w:t>
      </w:r>
    </w:p>
    <w:p w14:paraId="5EC9F813" w14:textId="11DD9E00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Upitnici i skale</w:t>
      </w:r>
    </w:p>
    <w:p w14:paraId="2BCBC77F" w14:textId="201DDA5C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Cirkumpleks model porodičnog funkcionisanja</w:t>
      </w:r>
    </w:p>
    <w:p w14:paraId="56B82EBB" w14:textId="77777777" w:rsidR="00CC28EF" w:rsidRPr="005C79F4" w:rsidRDefault="00CC28EF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Funkcionalna analiza ponašanja</w:t>
      </w:r>
    </w:p>
    <w:p w14:paraId="478CAC29" w14:textId="757B6867" w:rsidR="00CC28EF" w:rsidRPr="005C79F4" w:rsidRDefault="00CC28EF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 xml:space="preserve">Formalna procena </w:t>
      </w:r>
    </w:p>
    <w:p w14:paraId="16C83277" w14:textId="77777777" w:rsidR="00B23DDE" w:rsidRPr="00A96A94" w:rsidRDefault="00B23DDE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Interpretacija rezultata procene</w:t>
      </w:r>
    </w:p>
    <w:p w14:paraId="4CB66FFE" w14:textId="77777777" w:rsidR="00B23DDE" w:rsidRPr="00A96A94" w:rsidRDefault="00B23DD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eastAsia="MS Mincho" w:hAnsi="Times New Roman" w:cs="Times New Roman"/>
          <w:sz w:val="24"/>
          <w:szCs w:val="24"/>
          <w:highlight w:val="green"/>
          <w:lang w:val="sr-Latn-RS"/>
        </w:rPr>
        <w:t>Procena razvoja</w:t>
      </w:r>
    </w:p>
    <w:p w14:paraId="70A6EFC8" w14:textId="627E3181" w:rsidR="00B23DDE" w:rsidRPr="005C79F4" w:rsidRDefault="00B23DD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pažnje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opšti osvrt</w:t>
      </w:r>
    </w:p>
    <w:p w14:paraId="7F34E319" w14:textId="77777777" w:rsidR="00CF1532" w:rsidRPr="005C79F4" w:rsidRDefault="00CF153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pažnje 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– 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Zadaci raspona </w:t>
      </w:r>
    </w:p>
    <w:p w14:paraId="4D329FF0" w14:textId="4D53B6DA" w:rsidR="00B23DDE" w:rsidRPr="00A96A94" w:rsidRDefault="00CF153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pažnje  </w:t>
      </w:r>
      <w:bookmarkStart w:id="0" w:name="_Hlk180068538"/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– </w:t>
      </w:r>
      <w:bookmarkEnd w:id="0"/>
      <w:r w:rsidRPr="005C79F4">
        <w:rPr>
          <w:rFonts w:ascii="Times New Roman" w:eastAsia="MS Mincho" w:hAnsi="Times New Roman" w:cs="Times New Roman"/>
          <w:i/>
          <w:sz w:val="24"/>
          <w:szCs w:val="24"/>
          <w:lang w:val="sr-Latn-RS"/>
        </w:rPr>
        <w:t xml:space="preserve"> 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Zadaci kontinuiranog izvođenja</w:t>
      </w:r>
      <w:r w:rsidR="000F109D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 </w:t>
      </w:r>
      <w:r w:rsidR="000F109D" w:rsidRPr="005C79F4">
        <w:rPr>
          <w:rFonts w:ascii="Times New Roman" w:eastAsia="MS Mincho" w:hAnsi="Times New Roman" w:cs="Times New Roman"/>
          <w:iCs/>
          <w:color w:val="EE0000"/>
          <w:sz w:val="24"/>
          <w:szCs w:val="24"/>
          <w:lang w:val="sr-Latn-RS"/>
        </w:rPr>
        <w:t>i zadaci detekcije</w:t>
      </w:r>
    </w:p>
    <w:p w14:paraId="1A232F65" w14:textId="02DF99E3" w:rsidR="00193922" w:rsidRPr="00A96A94" w:rsidRDefault="0019392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  <w:t xml:space="preserve">Procena pažnje  </w:t>
      </w:r>
      <w:bookmarkStart w:id="1" w:name="_Hlk180068957"/>
      <w:r w:rsidRPr="00A96A94">
        <w:rPr>
          <w:rFonts w:ascii="Times New Roman" w:hAnsi="Times New Roman" w:cs="Times New Roman"/>
          <w:bCs/>
          <w:sz w:val="24"/>
          <w:szCs w:val="24"/>
          <w:highlight w:val="green"/>
          <w:lang w:val="sr-Latn-RS"/>
        </w:rPr>
        <w:t>–</w:t>
      </w:r>
      <w:bookmarkEnd w:id="1"/>
      <w:r w:rsidRPr="00A96A94">
        <w:rPr>
          <w:rFonts w:ascii="Times New Roman" w:hAnsi="Times New Roman" w:cs="Times New Roman"/>
          <w:bCs/>
          <w:sz w:val="24"/>
          <w:szCs w:val="24"/>
          <w:highlight w:val="green"/>
          <w:lang w:val="sr-Latn-RS"/>
        </w:rPr>
        <w:t xml:space="preserve"> </w:t>
      </w:r>
      <w:r w:rsidRPr="00A96A94">
        <w:rPr>
          <w:rFonts w:ascii="Times New Roman" w:eastAsia="MS Mincho" w:hAnsi="Times New Roman" w:cs="Times New Roman"/>
          <w:i/>
          <w:sz w:val="24"/>
          <w:szCs w:val="24"/>
          <w:highlight w:val="green"/>
          <w:lang w:val="sr-Latn-RS"/>
        </w:rPr>
        <w:t xml:space="preserve"> </w:t>
      </w:r>
      <w:r w:rsidRPr="00A96A94">
        <w:rPr>
          <w:rFonts w:ascii="Times New Roman" w:hAnsi="Times New Roman" w:cs="Times New Roman"/>
          <w:iCs/>
          <w:sz w:val="24"/>
          <w:szCs w:val="24"/>
          <w:highlight w:val="green"/>
          <w:lang w:val="sr-Latn-RS"/>
        </w:rPr>
        <w:t>Zadaci detekcije</w:t>
      </w:r>
    </w:p>
    <w:p w14:paraId="193D3496" w14:textId="19A144D6" w:rsidR="00193922" w:rsidRPr="005C79F4" w:rsidRDefault="0019392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pažnje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– </w:t>
      </w:r>
      <w:r w:rsidRPr="005C79F4">
        <w:rPr>
          <w:rFonts w:ascii="Times New Roman" w:hAnsi="Times New Roman" w:cs="Times New Roman"/>
          <w:iCs/>
          <w:sz w:val="24"/>
          <w:szCs w:val="24"/>
          <w:lang w:val="sr-Latn-RS"/>
        </w:rPr>
        <w:t>Selektivnost i fleksibilnost vizuelne pažnje</w:t>
      </w:r>
    </w:p>
    <w:p w14:paraId="67411307" w14:textId="452A10F1" w:rsidR="002D13F5" w:rsidRPr="005C79F4" w:rsidRDefault="002D13F5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pamćenja i učenja 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0B633FC5" w14:textId="036B28BA" w:rsidR="00193922" w:rsidRPr="005C79F4" w:rsidRDefault="006C562A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pamćenja i učenja </w:t>
      </w:r>
      <w:bookmarkStart w:id="2" w:name="_Hlk180069354"/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–</w:t>
      </w:r>
      <w:bookmarkEnd w:id="2"/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 Kratkoročno auditivno pamćenje, retroaktivna i proaktivna inhibicija </w:t>
      </w:r>
      <w:r w:rsidR="000F109D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i učenje verbalnog materijala</w:t>
      </w:r>
    </w:p>
    <w:p w14:paraId="1CA457A0" w14:textId="22766AF7" w:rsidR="006C562A" w:rsidRPr="005C79F4" w:rsidRDefault="006C562A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pamćenja i učenja – Kratkoročno vizuelno pamćenje</w:t>
      </w:r>
      <w:r w:rsidR="000F109D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 </w:t>
      </w:r>
    </w:p>
    <w:p w14:paraId="1CD02FFA" w14:textId="08605548" w:rsidR="006C562A" w:rsidRPr="005C79F4" w:rsidRDefault="006C562A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pamćenja i učenja – </w:t>
      </w:r>
      <w:r w:rsidRPr="005C79F4">
        <w:rPr>
          <w:rFonts w:ascii="Times New Roman" w:hAnsi="Times New Roman" w:cs="Times New Roman"/>
          <w:iCs/>
          <w:sz w:val="24"/>
          <w:szCs w:val="24"/>
          <w:lang w:val="sr-Latn-RS"/>
        </w:rPr>
        <w:t>Vizuospacijalno pamćenje</w:t>
      </w:r>
    </w:p>
    <w:p w14:paraId="1EC1029A" w14:textId="72B45B42" w:rsidR="006C562A" w:rsidRPr="005C79F4" w:rsidRDefault="006C562A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pamćenja i učenja – </w:t>
      </w:r>
      <w:r w:rsidR="00C356EB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Asocijativno </w:t>
      </w:r>
      <w:r w:rsidR="0015207E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i dugoročno </w:t>
      </w:r>
      <w:r w:rsidR="00C356EB"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pamćenje</w:t>
      </w:r>
    </w:p>
    <w:p w14:paraId="215A2A16" w14:textId="6C03352A" w:rsidR="0015207E" w:rsidRPr="00A96A9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bookmarkStart w:id="3" w:name="_Hlk180075308"/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dominantne lateralizovanosti</w:t>
      </w:r>
    </w:p>
    <w:bookmarkEnd w:id="3"/>
    <w:p w14:paraId="2D113909" w14:textId="7A2FB42E" w:rsidR="0015207E" w:rsidRPr="00A96A9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  <w:t>Procena dominantne lateralizovanosti gornjih i donjih ekstremiteta</w:t>
      </w:r>
    </w:p>
    <w:p w14:paraId="563E65E9" w14:textId="096D1064" w:rsidR="0015207E" w:rsidRPr="00A96A9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eastAsia="MS Mincho" w:hAnsi="Times New Roman" w:cs="Times New Roman"/>
          <w:iCs/>
          <w:sz w:val="24"/>
          <w:szCs w:val="24"/>
          <w:highlight w:val="green"/>
          <w:lang w:val="sr-Latn-RS"/>
        </w:rPr>
        <w:t>Procena dominantne lateralizovanosti vida i sluha</w:t>
      </w:r>
    </w:p>
    <w:p w14:paraId="0065D66D" w14:textId="483706A6" w:rsidR="0015207E" w:rsidRPr="005C79F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perceptivnih funkcija 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5E779FF0" w14:textId="77777777" w:rsidR="0015207E" w:rsidRPr="005C79F4" w:rsidRDefault="0015207E" w:rsidP="00A96A94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  <w:t>Procena brzine perceptivne obrade informacija</w:t>
      </w:r>
    </w:p>
    <w:p w14:paraId="0B8FE06C" w14:textId="40FBB21B" w:rsidR="0015207E" w:rsidRPr="005C79F4" w:rsidRDefault="0015207E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vizuelnih funkcija</w:t>
      </w:r>
    </w:p>
    <w:p w14:paraId="6DC7FAEF" w14:textId="226F4544" w:rsidR="0015207E" w:rsidRPr="005C79F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iCs/>
          <w:sz w:val="24"/>
          <w:szCs w:val="24"/>
          <w:lang w:val="sr-Latn-RS"/>
        </w:rPr>
        <w:t>Procena vizuelne identifikacije i diskriminacije</w:t>
      </w:r>
    </w:p>
    <w:p w14:paraId="54F5BF0E" w14:textId="6CE385EE" w:rsidR="0015207E" w:rsidRPr="005C79F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</w:t>
      </w:r>
      <w:r w:rsidRPr="005C79F4">
        <w:rPr>
          <w:rFonts w:ascii="Times New Roman" w:eastAsia="MS PGothic" w:hAnsi="Times New Roman" w:cs="Times New Roman"/>
          <w:iCs/>
          <w:sz w:val="24"/>
          <w:szCs w:val="24"/>
          <w:lang w:val="sr-Latn-RS"/>
        </w:rPr>
        <w:t>vizuelne organizacije</w:t>
      </w:r>
    </w:p>
    <w:p w14:paraId="76E55D09" w14:textId="78F9E7AF" w:rsidR="0015207E" w:rsidRPr="005C79F4" w:rsidRDefault="001520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simultangnozije i detekcija jednostranog zanemarivanja</w:t>
      </w:r>
    </w:p>
    <w:p w14:paraId="11E33254" w14:textId="508EB4BB" w:rsidR="00CC28EF" w:rsidRPr="005C79F4" w:rsidRDefault="001520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prepoznavanja lica i boja</w:t>
      </w:r>
    </w:p>
    <w:p w14:paraId="74377021" w14:textId="155338FF" w:rsidR="0015207E" w:rsidRPr="005C79F4" w:rsidRDefault="001520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Procena vizuospacijalnih </w:t>
      </w:r>
      <w:r w:rsidR="00662054"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i vizuokonstruktivnih </w:t>
      </w: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sposobnosti</w:t>
      </w:r>
    </w:p>
    <w:p w14:paraId="58A90DCA" w14:textId="01E95AFE" w:rsidR="0015207E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sposobnosti mentalne transformacije</w:t>
      </w:r>
    </w:p>
    <w:p w14:paraId="6D62088C" w14:textId="77777777" w:rsidR="00662054" w:rsidRPr="005C79F4" w:rsidRDefault="0066205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>Procena dečjeg crteža</w:t>
      </w:r>
    </w:p>
    <w:p w14:paraId="79530B67" w14:textId="2002D1E0" w:rsidR="00662054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auditivnih i taktilnih funkcija</w:t>
      </w:r>
    </w:p>
    <w:p w14:paraId="2EC19867" w14:textId="77777777" w:rsidR="00662054" w:rsidRPr="005C79F4" w:rsidRDefault="0066205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>Procena senzorne i senzomotoričke integracije</w:t>
      </w:r>
    </w:p>
    <w:p w14:paraId="6AA12DB3" w14:textId="7535FB9D" w:rsidR="00662054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</w:t>
      </w:r>
      <w:r w:rsidRPr="005C79F4">
        <w:rPr>
          <w:rFonts w:ascii="Times New Roman" w:hAnsi="Times New Roman" w:cs="Times New Roman"/>
          <w:sz w:val="24"/>
          <w:szCs w:val="24"/>
          <w:lang w:val="sr-Latn-RS"/>
        </w:rPr>
        <w:t xml:space="preserve"> motoričkih funkcija 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03379497" w14:textId="65AA2F17" w:rsidR="00662054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Indikatori teškoća neuromotoričkog razvoja</w:t>
      </w:r>
    </w:p>
    <w:p w14:paraId="66B8EEE2" w14:textId="3E64C248" w:rsidR="00662054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neuromotoričke zrelosti i bazičnih motoričkih funkcija</w:t>
      </w:r>
    </w:p>
    <w:p w14:paraId="10B6AF51" w14:textId="7933014C" w:rsidR="00662054" w:rsidRPr="005C79F4" w:rsidRDefault="0066205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Procena </w:t>
      </w:r>
      <w:r w:rsidRPr="005C79F4">
        <w:rPr>
          <w:rFonts w:ascii="Times New Roman" w:hAnsi="Times New Roman" w:cs="Times New Roman"/>
          <w:sz w:val="24"/>
          <w:szCs w:val="24"/>
          <w:lang w:val="sr-Latn-RS"/>
        </w:rPr>
        <w:t>viših motoričkih funkcija</w:t>
      </w:r>
    </w:p>
    <w:p w14:paraId="1B44562F" w14:textId="4FA54E45" w:rsidR="00A33E94" w:rsidRPr="005C79F4" w:rsidRDefault="00A33E9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doživljaja telesne celovitosti</w:t>
      </w:r>
    </w:p>
    <w:p w14:paraId="04D59C6D" w14:textId="77777777" w:rsidR="00A33E94" w:rsidRPr="005C79F4" w:rsidRDefault="00A33E9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gnozije prstiju</w:t>
      </w:r>
    </w:p>
    <w:p w14:paraId="0AA5CD72" w14:textId="0C1DE459" w:rsidR="00662054" w:rsidRPr="005C79F4" w:rsidRDefault="00A33E9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lastRenderedPageBreak/>
        <w:t xml:space="preserve">Procena govorno-jezičkih sposobnosti 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4C8C1AF7" w14:textId="77777777" w:rsidR="00A33E94" w:rsidRPr="005C79F4" w:rsidRDefault="00A33E9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Procena receptivnog govora</w:t>
      </w:r>
    </w:p>
    <w:p w14:paraId="76E00F3B" w14:textId="312B2DBE" w:rsidR="00A33E94" w:rsidRPr="005C79F4" w:rsidRDefault="00A33E9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Procena auditivne diskriminacije</w:t>
      </w:r>
    </w:p>
    <w:p w14:paraId="23BD5E66" w14:textId="3F91A947" w:rsidR="00A33E94" w:rsidRPr="005C79F4" w:rsidRDefault="00A33E9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fonološke svesnosti</w:t>
      </w:r>
    </w:p>
    <w:p w14:paraId="250F81EA" w14:textId="6EB6661C" w:rsidR="00A33E94" w:rsidRPr="005C79F4" w:rsidRDefault="00A33E9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leksičko-semantičkih sposobnosti</w:t>
      </w:r>
    </w:p>
    <w:p w14:paraId="72925815" w14:textId="7EF82EE4" w:rsidR="00A33E94" w:rsidRPr="005C79F4" w:rsidRDefault="00A33E94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>Procena razumevanja značenja rečenica</w:t>
      </w:r>
      <w:r w:rsidR="00C95A58"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 xml:space="preserve"> i </w:t>
      </w: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>logičko-gramatičke strukture rečenice</w:t>
      </w:r>
    </w:p>
    <w:p w14:paraId="55C0F538" w14:textId="77777777" w:rsidR="00A33E94" w:rsidRPr="005C79F4" w:rsidRDefault="00A33E94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Procena ekspresivnog govora</w:t>
      </w:r>
    </w:p>
    <w:p w14:paraId="68DEB142" w14:textId="2D83ACAE" w:rsidR="00A33E94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nekonvencionalnog verbalnog ponašanja</w:t>
      </w:r>
    </w:p>
    <w:p w14:paraId="2249DC99" w14:textId="77777777" w:rsidR="003614A5" w:rsidRPr="005C79F4" w:rsidRDefault="003614A5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>Procena pragmatskih aspekata govora</w:t>
      </w:r>
    </w:p>
    <w:p w14:paraId="05828C1D" w14:textId="3CD49D8D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Komunikaciona čeklista za decu</w:t>
      </w:r>
    </w:p>
    <w:p w14:paraId="2C32EDCA" w14:textId="3936EBE0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Pragmatski profil svakodnevnih komunikativnih veština kod dece</w:t>
      </w:r>
    </w:p>
    <w:p w14:paraId="706071D7" w14:textId="4A062AC6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Skala za procenu pragmatske kompetencije dece sa lakom mentalnom retardacijom</w:t>
      </w:r>
    </w:p>
    <w:p w14:paraId="01C8DB91" w14:textId="1B080922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Test pragmatskog jezika (TOPL)</w:t>
      </w:r>
    </w:p>
    <w:p w14:paraId="5A0A290D" w14:textId="77777777" w:rsidR="003614A5" w:rsidRPr="005C79F4" w:rsidRDefault="003614A5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Procena neverbalne komunikacije</w:t>
      </w:r>
    </w:p>
    <w:p w14:paraId="473FD2F5" w14:textId="529F967E" w:rsidR="003614A5" w:rsidRPr="005C79F4" w:rsidRDefault="003614A5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mišljenja i intelektualnih funkcija 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75C1AF47" w14:textId="3768073C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 xml:space="preserve">Procena bazičnih strategija </w:t>
      </w: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kognitivne obrade informacija</w:t>
      </w:r>
    </w:p>
    <w:p w14:paraId="7B1E00AE" w14:textId="560E1F7B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sposobnosti formiranja pojmova</w:t>
      </w:r>
    </w:p>
    <w:p w14:paraId="3927655A" w14:textId="316768FA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komparacije pojmova</w:t>
      </w:r>
    </w:p>
    <w:p w14:paraId="2DA4EFD0" w14:textId="45C942A1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klasifikacije (kategorizacije) pojmova</w:t>
      </w:r>
    </w:p>
    <w:p w14:paraId="1146A481" w14:textId="42906630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razumev</w:t>
      </w:r>
      <w:r w:rsidR="003651F8"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a</w:t>
      </w: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nja analogija</w:t>
      </w:r>
    </w:p>
    <w:p w14:paraId="1C459B5D" w14:textId="5EDFFFCB" w:rsidR="003614A5" w:rsidRPr="005C79F4" w:rsidRDefault="003614A5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analize i sinteze</w:t>
      </w:r>
      <w:r w:rsidR="00950F7E"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i diskurzivnog mišljenja</w:t>
      </w:r>
    </w:p>
    <w:p w14:paraId="76BD023D" w14:textId="64E4BC89" w:rsidR="00950F7E" w:rsidRPr="005C79F4" w:rsidRDefault="00950F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 xml:space="preserve">Procena operativnosti mišljenja 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5A490EE7" w14:textId="29EECBE5" w:rsidR="003614A5" w:rsidRPr="005C79F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elementarnih logičkih struktura</w:t>
      </w:r>
    </w:p>
    <w:p w14:paraId="3E747AF3" w14:textId="3F28E8EC" w:rsidR="00950F7E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sposobnosti konzervacije</w:t>
      </w:r>
    </w:p>
    <w:p w14:paraId="287EEBA0" w14:textId="53FFCC71" w:rsidR="00950F7E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  <w:t>Procena sposobnosti konzervacije količine</w:t>
      </w:r>
    </w:p>
    <w:p w14:paraId="635A4288" w14:textId="4329EA1D" w:rsidR="00950F7E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  <w:t>Procena sposobnosti konzervacije mase, težine i zapremine</w:t>
      </w:r>
    </w:p>
    <w:p w14:paraId="41391901" w14:textId="0963125B" w:rsidR="00CC28EF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  <w:t>Procena sposobnosti konzervacije dužine i površine</w:t>
      </w:r>
    </w:p>
    <w:p w14:paraId="5052995E" w14:textId="79A8C286" w:rsidR="00950F7E" w:rsidRPr="005C79F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sposobnosti konzervacije broja (korespondencije)</w:t>
      </w:r>
    </w:p>
    <w:p w14:paraId="3AE51A44" w14:textId="0B22C037" w:rsidR="00950F7E" w:rsidRPr="005C79F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figurativnog aspekta mišljenja</w:t>
      </w:r>
    </w:p>
    <w:p w14:paraId="358B4705" w14:textId="04048F1F" w:rsidR="00950F7E" w:rsidRPr="005C79F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Procena </w:t>
      </w:r>
      <w:r w:rsidRPr="005C79F4">
        <w:rPr>
          <w:rFonts w:ascii="Times New Roman" w:eastAsia="MS Mincho" w:hAnsi="Times New Roman" w:cs="Times New Roman"/>
          <w:sz w:val="24"/>
          <w:szCs w:val="24"/>
          <w:lang w:val="sr-Latn-RS"/>
        </w:rPr>
        <w:t>formalnih logičkih operacija</w:t>
      </w:r>
    </w:p>
    <w:p w14:paraId="08CBA18A" w14:textId="4FCF2580" w:rsidR="00950F7E" w:rsidRPr="005C79F4" w:rsidRDefault="00950F7E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egzekutivnih funkcija –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opšti osvrt</w:t>
      </w:r>
    </w:p>
    <w:p w14:paraId="64809175" w14:textId="114C3EE0" w:rsidR="00950F7E" w:rsidRPr="005C79F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Procena egzekutivnih funkcija – </w:t>
      </w:r>
      <w:r w:rsidRPr="005C79F4">
        <w:rPr>
          <w:rFonts w:ascii="Times New Roman" w:hAnsi="Times New Roman" w:cs="Times New Roman"/>
          <w:i/>
          <w:sz w:val="24"/>
          <w:szCs w:val="24"/>
          <w:lang w:val="sr-Latn-RS"/>
        </w:rPr>
        <w:t>BRIEF</w:t>
      </w:r>
    </w:p>
    <w:p w14:paraId="41C3EFED" w14:textId="77777777" w:rsidR="00950F7E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inhibitorne kontrole</w:t>
      </w:r>
    </w:p>
    <w:p w14:paraId="1820E41B" w14:textId="7BA5489F" w:rsidR="00950F7E" w:rsidRPr="00A96A94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bCs/>
          <w:sz w:val="24"/>
          <w:szCs w:val="24"/>
          <w:highlight w:val="green"/>
          <w:lang w:val="sr-Latn-RS"/>
        </w:rPr>
        <w:t>Procena inhibitorne kontrole –</w:t>
      </w:r>
      <w:r w:rsidR="00B961F4" w:rsidRPr="00A96A94">
        <w:rPr>
          <w:rFonts w:ascii="Times New Roman" w:hAnsi="Times New Roman" w:cs="Times New Roman"/>
          <w:bCs/>
          <w:sz w:val="24"/>
          <w:szCs w:val="24"/>
          <w:highlight w:val="green"/>
          <w:lang w:val="sr-Latn-RS"/>
        </w:rPr>
        <w:t xml:space="preserve"> </w:t>
      </w: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Stop signal paradigma</w:t>
      </w:r>
    </w:p>
    <w:p w14:paraId="0659655C" w14:textId="0DF89338" w:rsidR="00950F7E" w:rsidRPr="00B62876" w:rsidRDefault="00950F7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Procena inhibitorne kontrole – </w:t>
      </w:r>
      <w:r w:rsidR="00E96E4E" w:rsidRPr="005C79F4">
        <w:rPr>
          <w:rFonts w:ascii="Times New Roman" w:hAnsi="Times New Roman" w:cs="Times New Roman"/>
          <w:sz w:val="24"/>
          <w:szCs w:val="24"/>
          <w:lang w:val="sr-Latn-RS" w:eastAsia="en-GB"/>
        </w:rPr>
        <w:t>Strup zadaci</w:t>
      </w:r>
    </w:p>
    <w:p w14:paraId="18E41FA7" w14:textId="3EAC2454" w:rsidR="00E96E4E" w:rsidRPr="00A96A94" w:rsidRDefault="00E96E4E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 xml:space="preserve">Kreni/stani zadatak, zadatak čitanja uz ometanje i  </w:t>
      </w:r>
      <w:r w:rsidR="00D2690D"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zadatak prebacivanja simbola</w:t>
      </w:r>
    </w:p>
    <w:p w14:paraId="372AE449" w14:textId="242E19BB" w:rsidR="00E96E4E" w:rsidRPr="00A96A94" w:rsidRDefault="00D2690D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iCs/>
          <w:sz w:val="24"/>
          <w:szCs w:val="24"/>
          <w:highlight w:val="green"/>
          <w:lang w:val="sr-Latn-RS"/>
        </w:rPr>
        <w:t xml:space="preserve">KRISP zadatak i </w:t>
      </w:r>
      <w:r w:rsidRPr="00A96A94">
        <w:rPr>
          <w:rFonts w:ascii="Times New Roman" w:hAnsi="Times New Roman" w:cs="Times New Roman"/>
          <w:noProof/>
          <w:sz w:val="24"/>
          <w:szCs w:val="24"/>
          <w:highlight w:val="green"/>
          <w:lang w:val="sr-Latn-RS"/>
        </w:rPr>
        <w:t>test sparivanja poznatih slika</w:t>
      </w:r>
    </w:p>
    <w:p w14:paraId="20A4AE89" w14:textId="5BE03D61" w:rsidR="00D2690D" w:rsidRPr="00A96A94" w:rsidRDefault="00D2690D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  <w:t xml:space="preserve">Zadaci </w:t>
      </w:r>
      <w:r w:rsidRPr="00A96A94">
        <w:rPr>
          <w:rFonts w:ascii="Times New Roman" w:hAnsi="Times New Roman" w:cs="Times New Roman"/>
          <w:i/>
          <w:iCs/>
          <w:sz w:val="24"/>
          <w:szCs w:val="24"/>
          <w:highlight w:val="green"/>
          <w:lang w:val="sr-Latn-RS"/>
        </w:rPr>
        <w:t>Građenje kule</w:t>
      </w: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 xml:space="preserve"> i  </w:t>
      </w:r>
      <w:r w:rsidRPr="00A96A94">
        <w:rPr>
          <w:rFonts w:ascii="Times New Roman" w:hAnsi="Times New Roman" w:cs="Times New Roman"/>
          <w:i/>
          <w:sz w:val="24"/>
          <w:szCs w:val="24"/>
          <w:highlight w:val="green"/>
          <w:lang w:val="sr-Latn-RS"/>
        </w:rPr>
        <w:t>Odlaganje poklona</w:t>
      </w:r>
    </w:p>
    <w:p w14:paraId="77CDA84D" w14:textId="3F0364CF" w:rsidR="00D2690D" w:rsidRPr="00A96A94" w:rsidRDefault="00D2690D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iCs/>
          <w:sz w:val="24"/>
          <w:szCs w:val="24"/>
          <w:highlight w:val="green"/>
          <w:lang w:val="sr-Latn-RS"/>
        </w:rPr>
        <w:t>Zadaci usporavanja aktivnosti i zadatak š</w:t>
      </w:r>
      <w:r w:rsidR="00B961F4" w:rsidRPr="00A96A94">
        <w:rPr>
          <w:rFonts w:ascii="Times New Roman" w:hAnsi="Times New Roman" w:cs="Times New Roman"/>
          <w:iCs/>
          <w:sz w:val="24"/>
          <w:szCs w:val="24"/>
          <w:highlight w:val="green"/>
          <w:lang w:val="sr-Latn-RS"/>
        </w:rPr>
        <w:t>a</w:t>
      </w:r>
      <w:r w:rsidRPr="00A96A94">
        <w:rPr>
          <w:rFonts w:ascii="Times New Roman" w:hAnsi="Times New Roman" w:cs="Times New Roman"/>
          <w:iCs/>
          <w:sz w:val="24"/>
          <w:szCs w:val="24"/>
          <w:highlight w:val="green"/>
          <w:lang w:val="sr-Latn-RS"/>
        </w:rPr>
        <w:t>putanja</w:t>
      </w:r>
    </w:p>
    <w:p w14:paraId="2A18ACC3" w14:textId="740F1148" w:rsidR="00732E7A" w:rsidRPr="005C79F4" w:rsidRDefault="00732E7A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radne memorije</w:t>
      </w:r>
    </w:p>
    <w:p w14:paraId="738B6EB5" w14:textId="77777777" w:rsidR="00732E7A" w:rsidRPr="005C79F4" w:rsidRDefault="00732E7A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verbalne radne memorije</w:t>
      </w:r>
    </w:p>
    <w:p w14:paraId="1720A481" w14:textId="77777777" w:rsidR="00732E7A" w:rsidRPr="005C79F4" w:rsidRDefault="00732E7A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bookmarkStart w:id="4" w:name="_Hlk181271798"/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Procena neverbalne radne memorije</w:t>
      </w:r>
    </w:p>
    <w:bookmarkEnd w:id="4"/>
    <w:p w14:paraId="1DB78ED3" w14:textId="51AF73D9" w:rsidR="00786911" w:rsidRPr="00A96A94" w:rsidRDefault="00786911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kognitivne fleksibilnosti</w:t>
      </w:r>
      <w:r w:rsidRPr="00A96A9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49665FBE" w14:textId="6222EFD6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62876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Zadatak dvostruke kategorizacije, sortiranja i prepoznavanja sortiranja</w:t>
      </w:r>
    </w:p>
    <w:p w14:paraId="78B65DFA" w14:textId="695DFC71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Zadatak izmene dimenzija</w:t>
      </w:r>
    </w:p>
    <w:p w14:paraId="421DF26E" w14:textId="55AA6A9E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Zadatak fleksibilne selekcije objekata</w:t>
      </w:r>
    </w:p>
    <w:p w14:paraId="550CFCB0" w14:textId="05C91B00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Viskonsin test sortiranja karata</w:t>
      </w:r>
    </w:p>
    <w:p w14:paraId="0C80D555" w14:textId="0F1D7C2F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Trail Makig Test (TMT)</w:t>
      </w:r>
    </w:p>
    <w:p w14:paraId="50D3582D" w14:textId="7931DEDA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Verzije TMT</w:t>
      </w:r>
    </w:p>
    <w:p w14:paraId="167A00C3" w14:textId="5D23CDB3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Adaptirana verzija plus-minus zadatka</w:t>
      </w:r>
      <w:r w:rsidR="006A1BF2" w:rsidRPr="005C79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C79F4">
        <w:rPr>
          <w:rFonts w:ascii="Times New Roman" w:hAnsi="Times New Roman" w:cs="Times New Roman"/>
          <w:sz w:val="24"/>
          <w:szCs w:val="24"/>
          <w:lang w:val="sr-Latn-RS"/>
        </w:rPr>
        <w:t>i zadaci lokalno-globalno</w:t>
      </w:r>
    </w:p>
    <w:p w14:paraId="11F7B1D4" w14:textId="41972963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Test nepredvidjenog imenovanja</w:t>
      </w:r>
    </w:p>
    <w:p w14:paraId="540B19EE" w14:textId="581556C8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Procena fluentnosti</w:t>
      </w:r>
      <w:r w:rsidR="00B62876" w:rsidRPr="005C79F4">
        <w:rPr>
          <w:rFonts w:ascii="Times New Roman" w:hAnsi="Times New Roman" w:cs="Times New Roman"/>
          <w:sz w:val="24"/>
          <w:szCs w:val="24"/>
          <w:lang w:val="sr-Latn-RS"/>
        </w:rPr>
        <w:t xml:space="preserve"> mišljenja</w:t>
      </w:r>
    </w:p>
    <w:p w14:paraId="559D31E3" w14:textId="42059F0A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Procena verbalne fluentnosti</w:t>
      </w:r>
    </w:p>
    <w:p w14:paraId="052B4786" w14:textId="6CB32277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Procena neverbalne fluentnosti</w:t>
      </w:r>
    </w:p>
    <w:p w14:paraId="729EE132" w14:textId="2F3E1549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Procena fonološke fluentnosti</w:t>
      </w:r>
    </w:p>
    <w:p w14:paraId="081701EC" w14:textId="7BC35447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Procena semantičke fluentnosti</w:t>
      </w:r>
    </w:p>
    <w:p w14:paraId="1DBAE9F8" w14:textId="1F1EFF45" w:rsidR="00786911" w:rsidRPr="005C79F4" w:rsidRDefault="00786911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Procena planiranja/stvaranja strategije </w:t>
      </w:r>
    </w:p>
    <w:p w14:paraId="469C6829" w14:textId="01735DF0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Test 20 pitanja</w:t>
      </w:r>
    </w:p>
    <w:p w14:paraId="2BF4255E" w14:textId="41E775B0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Zadatak samostalnog prostornog pretraživanja</w:t>
      </w:r>
    </w:p>
    <w:p w14:paraId="22C8B4F6" w14:textId="679AAEF0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sz w:val="24"/>
          <w:szCs w:val="24"/>
          <w:lang w:val="sr-Latn-RS"/>
        </w:rPr>
        <w:t>Test Londonska kula</w:t>
      </w:r>
    </w:p>
    <w:p w14:paraId="6F80ADA5" w14:textId="343615DD" w:rsidR="00786911" w:rsidRPr="00A96A9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3F038B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Rej-Osteritov test složene figure i CLOX Test</w:t>
      </w:r>
    </w:p>
    <w:p w14:paraId="3ABD0A34" w14:textId="19F18F9C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afektivne komponente egzekutivnih funkcija</w:t>
      </w:r>
    </w:p>
    <w:p w14:paraId="3FBF4925" w14:textId="631F22B8" w:rsidR="00786911" w:rsidRPr="005C79F4" w:rsidRDefault="00786911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Procena egzekutivnih funkcija u realnim okolnostima</w:t>
      </w:r>
    </w:p>
    <w:p w14:paraId="3C03B16A" w14:textId="358FD6E7" w:rsidR="003401B1" w:rsidRPr="00A96A94" w:rsidRDefault="003401B1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iCs/>
          <w:sz w:val="24"/>
          <w:szCs w:val="24"/>
          <w:lang w:val="sr-Latn-RS"/>
        </w:rPr>
        <w:t>Procena teorije uma</w:t>
      </w:r>
      <w:r w:rsidRPr="00A96A94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</w:p>
    <w:p w14:paraId="537D68B4" w14:textId="2A0A6F7A" w:rsidR="003401B1" w:rsidRPr="00A96A94" w:rsidRDefault="003401B1" w:rsidP="00A96A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green"/>
          <w:lang w:val="sr-Latn-RS"/>
        </w:rPr>
      </w:pPr>
      <w:r w:rsidRPr="00A96A94">
        <w:rPr>
          <w:rFonts w:ascii="Times New Roman" w:hAnsi="Times New Roman" w:cs="Times New Roman"/>
          <w:sz w:val="24"/>
          <w:szCs w:val="24"/>
          <w:highlight w:val="green"/>
          <w:lang w:val="sr-Latn-RS"/>
        </w:rPr>
        <w:t>Ispitivanje interpretativne raznovrsnosti</w:t>
      </w:r>
    </w:p>
    <w:p w14:paraId="19834AB7" w14:textId="6D6359F5" w:rsidR="003401B1" w:rsidRPr="005C79F4" w:rsidRDefault="003401B1" w:rsidP="00A96A94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iCs/>
          <w:sz w:val="24"/>
          <w:szCs w:val="24"/>
          <w:lang w:val="sr-Latn-RS"/>
        </w:rPr>
        <w:t>Procena adaptivnog ponašanja</w:t>
      </w:r>
    </w:p>
    <w:p w14:paraId="7A6A281C" w14:textId="177F0684" w:rsidR="003401B1" w:rsidRPr="005C79F4" w:rsidRDefault="003401B1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Procena radnih sposobnosti i veština</w:t>
      </w:r>
    </w:p>
    <w:p w14:paraId="0FA596A6" w14:textId="2F259F17" w:rsidR="006A1BF2" w:rsidRPr="005C79F4" w:rsidRDefault="006A1BF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pažnje</w:t>
      </w:r>
    </w:p>
    <w:p w14:paraId="5F4FD8B0" w14:textId="728C6903" w:rsidR="006A1BF2" w:rsidRPr="005C79F4" w:rsidRDefault="006A1BF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auditivne pažnje</w:t>
      </w:r>
    </w:p>
    <w:p w14:paraId="1538BB72" w14:textId="77777777" w:rsidR="006A1BF2" w:rsidRPr="005C79F4" w:rsidRDefault="006A1BF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vizuelne pažnje</w:t>
      </w:r>
    </w:p>
    <w:p w14:paraId="3C7BC048" w14:textId="77777777" w:rsidR="006A1BF2" w:rsidRPr="005C79F4" w:rsidRDefault="006A1BF2" w:rsidP="00A96A94">
      <w:pPr>
        <w:spacing w:after="0" w:line="240" w:lineRule="auto"/>
        <w:ind w:left="360"/>
        <w:rPr>
          <w:rFonts w:ascii="Times New Roman" w:eastAsia="MS Mincho" w:hAnsi="Times New Roman" w:cs="Times New Roman"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– Procena taktilno-kinestetske pažnje </w:t>
      </w:r>
    </w:p>
    <w:p w14:paraId="4075BDB6" w14:textId="42C849CF" w:rsidR="006A1BF2" w:rsidRPr="005C79F4" w:rsidRDefault="006A1BF2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5" w:name="_Hlk181978991"/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</w:t>
      </w:r>
      <w:bookmarkEnd w:id="5"/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Procena pamćenja i učenja</w:t>
      </w:r>
    </w:p>
    <w:p w14:paraId="4083CDB6" w14:textId="168B4C71" w:rsidR="006A1BF2" w:rsidRPr="005C79F4" w:rsidRDefault="00092415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auditivnog pamćenja i učenja verbalnih sadržaja</w:t>
      </w:r>
    </w:p>
    <w:p w14:paraId="277639DD" w14:textId="2EC3C475" w:rsidR="00092415" w:rsidRPr="005C79F4" w:rsidRDefault="00092415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vizuelnog pamćenja i učenja neverbalnih sadržaja</w:t>
      </w:r>
    </w:p>
    <w:p w14:paraId="6F0ACE53" w14:textId="2D837DC0" w:rsidR="00092415" w:rsidRPr="005C79F4" w:rsidRDefault="00092415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PPKS – Procena receptivnog govora</w:t>
      </w:r>
    </w:p>
    <w:p w14:paraId="36D2F804" w14:textId="25DA06D7" w:rsidR="00092415" w:rsidRPr="005C79F4" w:rsidRDefault="00092415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PPKS – Procena ekspresivnog govora</w:t>
      </w:r>
    </w:p>
    <w:p w14:paraId="0E0BE36D" w14:textId="5608A29D" w:rsidR="006A1BF2" w:rsidRPr="005C79F4" w:rsidRDefault="006A1BF2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bCs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– Procena mišljenja</w:t>
      </w:r>
    </w:p>
    <w:p w14:paraId="79208E75" w14:textId="2B78ED58" w:rsidR="006A1BF2" w:rsidRPr="005C79F4" w:rsidRDefault="006A1BF2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PPKS – Procena mišljenja (I deo)</w:t>
      </w:r>
    </w:p>
    <w:p w14:paraId="243D93DB" w14:textId="0CF0903A" w:rsidR="006A1BF2" w:rsidRPr="005C79F4" w:rsidRDefault="006A1BF2" w:rsidP="00A96A94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 w:rsidRPr="005C79F4">
        <w:rPr>
          <w:rFonts w:ascii="Times New Roman" w:eastAsia="MS Mincho" w:hAnsi="Times New Roman" w:cs="Times New Roman"/>
          <w:iCs/>
          <w:sz w:val="24"/>
          <w:szCs w:val="24"/>
          <w:lang w:val="sr-Latn-RS"/>
        </w:rPr>
        <w:t>PPKS – Procena mišljenja (II deo)</w:t>
      </w:r>
    </w:p>
    <w:p w14:paraId="29A0555C" w14:textId="7F29A8D3" w:rsidR="00F33227" w:rsidRPr="005C79F4" w:rsidRDefault="00F33227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PPKS </w:t>
      </w: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– Procena egzekutivnih funkcija</w:t>
      </w:r>
    </w:p>
    <w:p w14:paraId="670A3996" w14:textId="7C3EB3AA" w:rsidR="00F33227" w:rsidRPr="005C79F4" w:rsidRDefault="00F33227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PPKS – Procena inhibitorne kontrole </w:t>
      </w:r>
    </w:p>
    <w:p w14:paraId="3CCDC157" w14:textId="0C7F7B45" w:rsidR="00F33227" w:rsidRPr="005C79F4" w:rsidRDefault="00F33227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PPKS – Procena radne memorije</w:t>
      </w:r>
    </w:p>
    <w:p w14:paraId="07408EF3" w14:textId="11A8B8F2" w:rsidR="00F33227" w:rsidRPr="005C79F4" w:rsidRDefault="00F33227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PPKS – Procena kognitivne fleksibilnosti </w:t>
      </w:r>
    </w:p>
    <w:p w14:paraId="53F4B559" w14:textId="10CBDC35" w:rsidR="00F33227" w:rsidRPr="005C79F4" w:rsidRDefault="00F33227" w:rsidP="00A96A9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PPKS – Procena planiranja</w:t>
      </w:r>
    </w:p>
    <w:p w14:paraId="24865DD3" w14:textId="77CB8AE2" w:rsidR="00F33227" w:rsidRPr="00A96A94" w:rsidRDefault="00F33227" w:rsidP="00A96A94">
      <w:pPr>
        <w:spacing w:after="0" w:line="24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val="sr-Latn-RS"/>
        </w:rPr>
      </w:pPr>
      <w:r w:rsidRPr="005C79F4">
        <w:rPr>
          <w:rFonts w:ascii="Times New Roman" w:hAnsi="Times New Roman" w:cs="Times New Roman"/>
          <w:bCs/>
          <w:sz w:val="24"/>
          <w:szCs w:val="24"/>
          <w:lang w:val="sr-Latn-RS"/>
        </w:rPr>
        <w:t>PPKS – Procena samoregulacije</w:t>
      </w:r>
    </w:p>
    <w:p w14:paraId="45ADE636" w14:textId="77777777" w:rsidR="00CC28EF" w:rsidRPr="004C5535" w:rsidRDefault="00CC28EF" w:rsidP="00C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C28EF" w:rsidRPr="004C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3D0B"/>
    <w:multiLevelType w:val="hybridMultilevel"/>
    <w:tmpl w:val="0FB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603"/>
    <w:multiLevelType w:val="hybridMultilevel"/>
    <w:tmpl w:val="991C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029"/>
    <w:multiLevelType w:val="hybridMultilevel"/>
    <w:tmpl w:val="9B5EF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6AE4"/>
    <w:multiLevelType w:val="hybridMultilevel"/>
    <w:tmpl w:val="1184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287C"/>
    <w:multiLevelType w:val="hybridMultilevel"/>
    <w:tmpl w:val="9314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7041"/>
    <w:multiLevelType w:val="hybridMultilevel"/>
    <w:tmpl w:val="635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528B"/>
    <w:multiLevelType w:val="hybridMultilevel"/>
    <w:tmpl w:val="D61A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7676C"/>
    <w:multiLevelType w:val="hybridMultilevel"/>
    <w:tmpl w:val="DF48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295C"/>
    <w:multiLevelType w:val="hybridMultilevel"/>
    <w:tmpl w:val="CB54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7E72"/>
    <w:multiLevelType w:val="hybridMultilevel"/>
    <w:tmpl w:val="7B4A5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B5D34"/>
    <w:multiLevelType w:val="hybridMultilevel"/>
    <w:tmpl w:val="B52C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7190">
    <w:abstractNumId w:val="5"/>
  </w:num>
  <w:num w:numId="2" w16cid:durableId="1249073358">
    <w:abstractNumId w:val="2"/>
  </w:num>
  <w:num w:numId="3" w16cid:durableId="1821531384">
    <w:abstractNumId w:val="8"/>
  </w:num>
  <w:num w:numId="4" w16cid:durableId="568658717">
    <w:abstractNumId w:val="10"/>
  </w:num>
  <w:num w:numId="5" w16cid:durableId="287472128">
    <w:abstractNumId w:val="1"/>
  </w:num>
  <w:num w:numId="6" w16cid:durableId="777143004">
    <w:abstractNumId w:val="3"/>
  </w:num>
  <w:num w:numId="7" w16cid:durableId="410396652">
    <w:abstractNumId w:val="4"/>
  </w:num>
  <w:num w:numId="8" w16cid:durableId="2090687780">
    <w:abstractNumId w:val="9"/>
  </w:num>
  <w:num w:numId="9" w16cid:durableId="37976649">
    <w:abstractNumId w:val="0"/>
  </w:num>
  <w:num w:numId="10" w16cid:durableId="1617252489">
    <w:abstractNumId w:val="7"/>
  </w:num>
  <w:num w:numId="11" w16cid:durableId="1935823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F"/>
    <w:rsid w:val="0006421A"/>
    <w:rsid w:val="000917EC"/>
    <w:rsid w:val="00092415"/>
    <w:rsid w:val="000F109D"/>
    <w:rsid w:val="0015207E"/>
    <w:rsid w:val="0015376D"/>
    <w:rsid w:val="00175F98"/>
    <w:rsid w:val="0019330F"/>
    <w:rsid w:val="00193922"/>
    <w:rsid w:val="001A637F"/>
    <w:rsid w:val="001D6F6B"/>
    <w:rsid w:val="002D13F5"/>
    <w:rsid w:val="003401B1"/>
    <w:rsid w:val="003614A5"/>
    <w:rsid w:val="003651F8"/>
    <w:rsid w:val="00377414"/>
    <w:rsid w:val="00395A18"/>
    <w:rsid w:val="003C78FB"/>
    <w:rsid w:val="003D4DC5"/>
    <w:rsid w:val="003F038B"/>
    <w:rsid w:val="003F6CDD"/>
    <w:rsid w:val="0043582F"/>
    <w:rsid w:val="004545CC"/>
    <w:rsid w:val="004C5535"/>
    <w:rsid w:val="005C79F4"/>
    <w:rsid w:val="005D044C"/>
    <w:rsid w:val="00662054"/>
    <w:rsid w:val="00667B1D"/>
    <w:rsid w:val="006A1BF2"/>
    <w:rsid w:val="006B3E22"/>
    <w:rsid w:val="006C562A"/>
    <w:rsid w:val="00732E7A"/>
    <w:rsid w:val="00743D8D"/>
    <w:rsid w:val="00786911"/>
    <w:rsid w:val="007B4193"/>
    <w:rsid w:val="007C36F1"/>
    <w:rsid w:val="00835263"/>
    <w:rsid w:val="00896CF5"/>
    <w:rsid w:val="008B761F"/>
    <w:rsid w:val="00913E89"/>
    <w:rsid w:val="009219D3"/>
    <w:rsid w:val="00950F7E"/>
    <w:rsid w:val="00974674"/>
    <w:rsid w:val="00A07143"/>
    <w:rsid w:val="00A33E94"/>
    <w:rsid w:val="00A4687C"/>
    <w:rsid w:val="00A85063"/>
    <w:rsid w:val="00A96A94"/>
    <w:rsid w:val="00AE7455"/>
    <w:rsid w:val="00B23DDE"/>
    <w:rsid w:val="00B62876"/>
    <w:rsid w:val="00B961F4"/>
    <w:rsid w:val="00BE778D"/>
    <w:rsid w:val="00C06FC9"/>
    <w:rsid w:val="00C356EB"/>
    <w:rsid w:val="00C953FD"/>
    <w:rsid w:val="00C95A58"/>
    <w:rsid w:val="00CC28EF"/>
    <w:rsid w:val="00CD7887"/>
    <w:rsid w:val="00CF1532"/>
    <w:rsid w:val="00D2690D"/>
    <w:rsid w:val="00D83BDD"/>
    <w:rsid w:val="00DC35BE"/>
    <w:rsid w:val="00E22F7A"/>
    <w:rsid w:val="00E71107"/>
    <w:rsid w:val="00E96E4E"/>
    <w:rsid w:val="00EE4CA6"/>
    <w:rsid w:val="00F33227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08FD"/>
  <w15:chartTrackingRefBased/>
  <w15:docId w15:val="{C7924B0C-2A9F-4EC0-81E2-9AC6ACE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6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Oligo Kabinet</dc:creator>
  <cp:keywords/>
  <dc:description/>
  <cp:lastModifiedBy>S340</cp:lastModifiedBy>
  <cp:revision>11</cp:revision>
  <dcterms:created xsi:type="dcterms:W3CDTF">2025-07-24T15:17:00Z</dcterms:created>
  <dcterms:modified xsi:type="dcterms:W3CDTF">2025-08-02T08:44:00Z</dcterms:modified>
</cp:coreProperties>
</file>